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EE87" w14:textId="1CD886EA" w:rsidR="00ED2407" w:rsidRDefault="00ED2407" w:rsidP="00ED2407">
      <w:pPr>
        <w:pStyle w:val="Standard"/>
        <w:jc w:val="center"/>
      </w:pPr>
      <w:r>
        <w:rPr>
          <w:sz w:val="28"/>
          <w:szCs w:val="28"/>
        </w:rPr>
        <w:t>Verslag van de controlerende vennoten aan de algemene vergadering van De Landgenoten cvso over het boekjaar afgesloten op 31 december 202</w:t>
      </w:r>
      <w:r w:rsidR="004E74C4">
        <w:rPr>
          <w:sz w:val="28"/>
          <w:szCs w:val="28"/>
        </w:rPr>
        <w:t>4</w:t>
      </w:r>
    </w:p>
    <w:p w14:paraId="1189789A" w14:textId="77777777" w:rsidR="00ED2407" w:rsidRDefault="00ED2407">
      <w:pPr>
        <w:rPr>
          <w:sz w:val="20"/>
          <w:szCs w:val="20"/>
        </w:rPr>
      </w:pPr>
    </w:p>
    <w:p w14:paraId="61E47154" w14:textId="2416AE67" w:rsidR="008A7BAB" w:rsidRDefault="00ED2407">
      <w:pPr>
        <w:rPr>
          <w:sz w:val="20"/>
          <w:szCs w:val="20"/>
        </w:rPr>
      </w:pPr>
      <w:r>
        <w:rPr>
          <w:sz w:val="20"/>
          <w:szCs w:val="20"/>
        </w:rPr>
        <w:t xml:space="preserve">Overeenkomstig de wettelijke en statutaire bepalingen brengen wij u verslag uit in het kader van ons mandaat als controlerende vennoten, ons gegeven door de algemene vergadering van De Landgenoten cvso op datum van </w:t>
      </w:r>
      <w:r w:rsidR="00305A30">
        <w:rPr>
          <w:sz w:val="20"/>
          <w:szCs w:val="20"/>
        </w:rPr>
        <w:t>20</w:t>
      </w:r>
      <w:r>
        <w:rPr>
          <w:sz w:val="20"/>
          <w:szCs w:val="20"/>
        </w:rPr>
        <w:t xml:space="preserve"> april 202</w:t>
      </w:r>
      <w:r w:rsidR="00305A30">
        <w:rPr>
          <w:sz w:val="20"/>
          <w:szCs w:val="20"/>
        </w:rPr>
        <w:t>4</w:t>
      </w:r>
      <w:r>
        <w:rPr>
          <w:sz w:val="20"/>
          <w:szCs w:val="20"/>
        </w:rPr>
        <w:t>. Dit verslag betreft de jaarrekening voor het boekjaar afgesloten op 31 december 202</w:t>
      </w:r>
      <w:r w:rsidR="004E74C4">
        <w:rPr>
          <w:sz w:val="20"/>
          <w:szCs w:val="20"/>
        </w:rPr>
        <w:t>4</w:t>
      </w:r>
      <w:r>
        <w:rPr>
          <w:sz w:val="20"/>
          <w:szCs w:val="20"/>
        </w:rPr>
        <w:t>.</w:t>
      </w:r>
    </w:p>
    <w:p w14:paraId="13DC8500" w14:textId="77777777" w:rsidR="005A414B" w:rsidRDefault="005A414B" w:rsidP="005A414B">
      <w:pPr>
        <w:pStyle w:val="Standard"/>
        <w:jc w:val="both"/>
      </w:pPr>
      <w:r>
        <w:rPr>
          <w:b/>
          <w:sz w:val="20"/>
          <w:szCs w:val="20"/>
        </w:rPr>
        <w:t>Verslag over de jaarrekening zonder voorbehoud</w:t>
      </w:r>
    </w:p>
    <w:p w14:paraId="0DE7108B" w14:textId="36D5A7AC" w:rsidR="00E54A37" w:rsidRDefault="00E54A37" w:rsidP="00E54A3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Wij hebben de controle uitgevoerd van de jaarrekening van De Landgenoten cvso (kortweg "DLG") over het boekjaar afgesloten op 31 december 202</w:t>
      </w:r>
      <w:r w:rsidR="004E74C4">
        <w:rPr>
          <w:sz w:val="20"/>
          <w:szCs w:val="20"/>
        </w:rPr>
        <w:t>4</w:t>
      </w:r>
      <w:r>
        <w:rPr>
          <w:sz w:val="20"/>
          <w:szCs w:val="20"/>
        </w:rPr>
        <w:t>, opgesteld in overeenstemming met het boekhoudkundig referentiestelsel dat van toepassing is in België. Deze jaarrekening omvat de balans op 31 december 202</w:t>
      </w:r>
      <w:r w:rsidR="004E74C4">
        <w:rPr>
          <w:sz w:val="20"/>
          <w:szCs w:val="20"/>
        </w:rPr>
        <w:t>4</w:t>
      </w:r>
      <w:r>
        <w:rPr>
          <w:sz w:val="20"/>
          <w:szCs w:val="20"/>
        </w:rPr>
        <w:t xml:space="preserve">, de resultatenrekening voor het boekjaar afgesloten op die datum, evenals de toelichtingen. Het balanstotaal bedraagt </w:t>
      </w:r>
      <w:r w:rsidR="004E74C4" w:rsidRPr="004E74C4">
        <w:rPr>
          <w:sz w:val="20"/>
          <w:szCs w:val="20"/>
        </w:rPr>
        <w:t>2.825.287,50</w:t>
      </w:r>
      <w:r w:rsidR="001467B8">
        <w:rPr>
          <w:sz w:val="20"/>
          <w:szCs w:val="20"/>
        </w:rPr>
        <w:t xml:space="preserve"> euro,</w:t>
      </w:r>
      <w:r>
        <w:rPr>
          <w:sz w:val="20"/>
          <w:szCs w:val="20"/>
        </w:rPr>
        <w:t xml:space="preserve"> waarvan het </w:t>
      </w:r>
      <w:r w:rsidR="00935A27">
        <w:rPr>
          <w:sz w:val="20"/>
          <w:szCs w:val="20"/>
        </w:rPr>
        <w:t>grootste</w:t>
      </w:r>
      <w:r>
        <w:rPr>
          <w:sz w:val="20"/>
          <w:szCs w:val="20"/>
        </w:rPr>
        <w:t xml:space="preserve"> deel</w:t>
      </w:r>
      <w:r w:rsidR="001467B8">
        <w:rPr>
          <w:sz w:val="20"/>
          <w:szCs w:val="20"/>
        </w:rPr>
        <w:t xml:space="preserve"> (</w:t>
      </w:r>
      <w:r w:rsidR="001467B8" w:rsidRPr="001467B8">
        <w:rPr>
          <w:sz w:val="20"/>
          <w:szCs w:val="20"/>
        </w:rPr>
        <w:t>2.108.160,16</w:t>
      </w:r>
      <w:r w:rsidR="001467B8">
        <w:rPr>
          <w:sz w:val="20"/>
          <w:szCs w:val="20"/>
        </w:rPr>
        <w:t xml:space="preserve"> euro, zijnde </w:t>
      </w:r>
      <w:r w:rsidR="00935A27">
        <w:rPr>
          <w:sz w:val="20"/>
          <w:szCs w:val="20"/>
        </w:rPr>
        <w:t>74</w:t>
      </w:r>
      <w:r w:rsidR="001467B8">
        <w:rPr>
          <w:sz w:val="20"/>
          <w:szCs w:val="20"/>
        </w:rPr>
        <w:t>,</w:t>
      </w:r>
      <w:r w:rsidR="00935A27">
        <w:rPr>
          <w:sz w:val="20"/>
          <w:szCs w:val="20"/>
        </w:rPr>
        <w:t>62</w:t>
      </w:r>
      <w:r w:rsidR="001467B8">
        <w:rPr>
          <w:sz w:val="20"/>
          <w:szCs w:val="20"/>
        </w:rPr>
        <w:t xml:space="preserve">%) bestaat uit gronden die in de loop van de </w:t>
      </w:r>
      <w:r w:rsidR="009D19C3">
        <w:rPr>
          <w:sz w:val="20"/>
          <w:szCs w:val="20"/>
        </w:rPr>
        <w:t xml:space="preserve">afgelopen </w:t>
      </w:r>
      <w:r w:rsidR="001467B8">
        <w:rPr>
          <w:sz w:val="20"/>
          <w:szCs w:val="20"/>
        </w:rPr>
        <w:t>jar</w:t>
      </w:r>
      <w:r w:rsidR="00935A27">
        <w:rPr>
          <w:sz w:val="20"/>
          <w:szCs w:val="20"/>
        </w:rPr>
        <w:t>en</w:t>
      </w:r>
      <w:r w:rsidR="001467B8">
        <w:rPr>
          <w:sz w:val="20"/>
          <w:szCs w:val="20"/>
        </w:rPr>
        <w:t xml:space="preserve"> aangekocht werden. Samen met de registratierechten (</w:t>
      </w:r>
      <w:r w:rsidR="001467B8" w:rsidRPr="001467B8">
        <w:rPr>
          <w:sz w:val="20"/>
          <w:szCs w:val="20"/>
        </w:rPr>
        <w:t>227.401,34</w:t>
      </w:r>
      <w:r w:rsidR="001467B8">
        <w:rPr>
          <w:sz w:val="20"/>
          <w:szCs w:val="20"/>
        </w:rPr>
        <w:t xml:space="preserve"> euro) en de aankoopkosten (</w:t>
      </w:r>
      <w:r w:rsidR="001467B8" w:rsidRPr="001467B8">
        <w:rPr>
          <w:sz w:val="20"/>
          <w:szCs w:val="20"/>
        </w:rPr>
        <w:t>68.626,67</w:t>
      </w:r>
      <w:r w:rsidR="001467B8">
        <w:rPr>
          <w:sz w:val="20"/>
          <w:szCs w:val="20"/>
        </w:rPr>
        <w:t xml:space="preserve"> euro, dit zijn de kosten voor notaris en andere deskundigen</w:t>
      </w:r>
      <w:r w:rsidR="00155725">
        <w:rPr>
          <w:sz w:val="20"/>
          <w:szCs w:val="20"/>
        </w:rPr>
        <w:t>)</w:t>
      </w:r>
      <w:r w:rsidR="00B72509">
        <w:rPr>
          <w:sz w:val="20"/>
          <w:szCs w:val="20"/>
        </w:rPr>
        <w:t xml:space="preserve"> geeft</w:t>
      </w:r>
      <w:r w:rsidR="001467B8">
        <w:rPr>
          <w:sz w:val="20"/>
          <w:szCs w:val="20"/>
        </w:rPr>
        <w:t xml:space="preserve"> </w:t>
      </w:r>
      <w:r w:rsidR="00155725">
        <w:rPr>
          <w:sz w:val="20"/>
          <w:szCs w:val="20"/>
        </w:rPr>
        <w:t xml:space="preserve">dit </w:t>
      </w:r>
      <w:r w:rsidR="00155725" w:rsidRPr="00155725">
        <w:rPr>
          <w:sz w:val="20"/>
          <w:szCs w:val="20"/>
        </w:rPr>
        <w:t>2.404.188,17</w:t>
      </w:r>
      <w:r w:rsidR="00155725">
        <w:rPr>
          <w:sz w:val="20"/>
          <w:szCs w:val="20"/>
        </w:rPr>
        <w:t xml:space="preserve"> euro, wat neerkomt op </w:t>
      </w:r>
      <w:r w:rsidR="00935A27">
        <w:rPr>
          <w:sz w:val="20"/>
          <w:szCs w:val="20"/>
        </w:rPr>
        <w:t>85</w:t>
      </w:r>
      <w:r w:rsidR="00155725">
        <w:rPr>
          <w:sz w:val="20"/>
          <w:szCs w:val="20"/>
        </w:rPr>
        <w:t xml:space="preserve">,80% van het balanstotaal. De balans van DLG bestaat dus voor </w:t>
      </w:r>
      <w:r w:rsidR="00935A27">
        <w:rPr>
          <w:sz w:val="20"/>
          <w:szCs w:val="20"/>
        </w:rPr>
        <w:t>bijna</w:t>
      </w:r>
      <w:r w:rsidR="003E5FC1">
        <w:rPr>
          <w:sz w:val="20"/>
          <w:szCs w:val="20"/>
        </w:rPr>
        <w:t xml:space="preserve"> </w:t>
      </w:r>
      <w:r w:rsidR="00935A27">
        <w:rPr>
          <w:sz w:val="20"/>
          <w:szCs w:val="20"/>
        </w:rPr>
        <w:t>8</w:t>
      </w:r>
      <w:r w:rsidR="00305A30">
        <w:rPr>
          <w:sz w:val="20"/>
          <w:szCs w:val="20"/>
        </w:rPr>
        <w:t>6</w:t>
      </w:r>
      <w:r w:rsidR="00155725">
        <w:rPr>
          <w:sz w:val="20"/>
          <w:szCs w:val="20"/>
        </w:rPr>
        <w:t>% uit grond.</w:t>
      </w:r>
      <w:r>
        <w:rPr>
          <w:sz w:val="20"/>
          <w:szCs w:val="20"/>
        </w:rPr>
        <w:t xml:space="preserve"> </w:t>
      </w:r>
      <w:r w:rsidR="00155725">
        <w:rPr>
          <w:sz w:val="20"/>
          <w:szCs w:val="20"/>
        </w:rPr>
        <w:t>D</w:t>
      </w:r>
      <w:r>
        <w:rPr>
          <w:sz w:val="20"/>
          <w:szCs w:val="20"/>
        </w:rPr>
        <w:t xml:space="preserve">e resultatenrekening sluit af met een </w:t>
      </w:r>
      <w:r w:rsidR="00935A27">
        <w:rPr>
          <w:b/>
          <w:sz w:val="20"/>
          <w:szCs w:val="20"/>
        </w:rPr>
        <w:t xml:space="preserve">klein verlies </w:t>
      </w:r>
      <w:r w:rsidR="00155725" w:rsidRPr="005A414B">
        <w:rPr>
          <w:b/>
          <w:sz w:val="20"/>
          <w:szCs w:val="20"/>
        </w:rPr>
        <w:t>over</w:t>
      </w:r>
      <w:r w:rsidRPr="005A414B">
        <w:rPr>
          <w:b/>
          <w:sz w:val="20"/>
          <w:szCs w:val="20"/>
        </w:rPr>
        <w:t xml:space="preserve"> het boekjaar</w:t>
      </w:r>
      <w:r>
        <w:rPr>
          <w:sz w:val="20"/>
          <w:szCs w:val="20"/>
        </w:rPr>
        <w:t xml:space="preserve"> van</w:t>
      </w:r>
      <w:r w:rsidR="00155725">
        <w:rPr>
          <w:sz w:val="20"/>
          <w:szCs w:val="20"/>
        </w:rPr>
        <w:t xml:space="preserve"> </w:t>
      </w:r>
      <w:r w:rsidR="00ED5A26">
        <w:rPr>
          <w:sz w:val="20"/>
          <w:szCs w:val="20"/>
        </w:rPr>
        <w:t>-</w:t>
      </w:r>
      <w:r w:rsidR="00935A27">
        <w:rPr>
          <w:sz w:val="20"/>
          <w:szCs w:val="20"/>
        </w:rPr>
        <w:t>288</w:t>
      </w:r>
      <w:r w:rsidR="00155725" w:rsidRPr="00155725">
        <w:rPr>
          <w:sz w:val="20"/>
          <w:szCs w:val="20"/>
        </w:rPr>
        <w:t>,5</w:t>
      </w:r>
      <w:r w:rsidR="00935A27">
        <w:rPr>
          <w:sz w:val="20"/>
          <w:szCs w:val="20"/>
        </w:rPr>
        <w:t>6</w:t>
      </w:r>
      <w:r w:rsidR="00155725">
        <w:rPr>
          <w:sz w:val="20"/>
          <w:szCs w:val="20"/>
        </w:rPr>
        <w:t xml:space="preserve"> euro</w:t>
      </w:r>
      <w:r>
        <w:rPr>
          <w:sz w:val="20"/>
          <w:szCs w:val="20"/>
        </w:rPr>
        <w:t xml:space="preserve">. Samen met het </w:t>
      </w:r>
      <w:r w:rsidRPr="005A414B">
        <w:rPr>
          <w:b/>
          <w:sz w:val="20"/>
          <w:szCs w:val="20"/>
        </w:rPr>
        <w:t>overgedragen verlies</w:t>
      </w:r>
      <w:r>
        <w:rPr>
          <w:sz w:val="20"/>
          <w:szCs w:val="20"/>
        </w:rPr>
        <w:t xml:space="preserve"> van vorig</w:t>
      </w:r>
      <w:r w:rsidR="00A73923">
        <w:rPr>
          <w:sz w:val="20"/>
          <w:szCs w:val="20"/>
        </w:rPr>
        <w:t>e</w:t>
      </w:r>
      <w:r>
        <w:rPr>
          <w:sz w:val="20"/>
          <w:szCs w:val="20"/>
        </w:rPr>
        <w:t xml:space="preserve"> boekjar</w:t>
      </w:r>
      <w:r w:rsidR="00935A27">
        <w:rPr>
          <w:sz w:val="20"/>
          <w:szCs w:val="20"/>
        </w:rPr>
        <w:t>en</w:t>
      </w:r>
      <w:r>
        <w:rPr>
          <w:sz w:val="20"/>
          <w:szCs w:val="20"/>
        </w:rPr>
        <w:t xml:space="preserve"> (</w:t>
      </w:r>
      <w:r w:rsidR="007372AA">
        <w:rPr>
          <w:sz w:val="20"/>
          <w:szCs w:val="20"/>
        </w:rPr>
        <w:t>-</w:t>
      </w:r>
      <w:r w:rsidR="00ED5A26" w:rsidRPr="006C79CF">
        <w:rPr>
          <w:sz w:val="20"/>
          <w:szCs w:val="20"/>
        </w:rPr>
        <w:t>11.992,66</w:t>
      </w:r>
      <w:r w:rsidR="00ED5A26">
        <w:rPr>
          <w:sz w:val="20"/>
          <w:szCs w:val="20"/>
        </w:rPr>
        <w:t xml:space="preserve"> </w:t>
      </w:r>
      <w:r w:rsidR="006C79CF">
        <w:rPr>
          <w:sz w:val="20"/>
          <w:szCs w:val="20"/>
        </w:rPr>
        <w:t>euro</w:t>
      </w:r>
      <w:r>
        <w:rPr>
          <w:sz w:val="20"/>
          <w:szCs w:val="20"/>
        </w:rPr>
        <w:t>) geeft dit een over te dragen verlies van</w:t>
      </w:r>
      <w:r w:rsidR="006C79CF">
        <w:rPr>
          <w:sz w:val="20"/>
          <w:szCs w:val="20"/>
        </w:rPr>
        <w:t xml:space="preserve"> </w:t>
      </w:r>
      <w:r w:rsidR="007372AA">
        <w:rPr>
          <w:sz w:val="20"/>
          <w:szCs w:val="20"/>
        </w:rPr>
        <w:t>-</w:t>
      </w:r>
      <w:r w:rsidR="006C79CF" w:rsidRPr="006C79CF">
        <w:rPr>
          <w:sz w:val="20"/>
          <w:szCs w:val="20"/>
        </w:rPr>
        <w:t>1</w:t>
      </w:r>
      <w:r w:rsidR="00ED5A26">
        <w:rPr>
          <w:sz w:val="20"/>
          <w:szCs w:val="20"/>
        </w:rPr>
        <w:t>2</w:t>
      </w:r>
      <w:r w:rsidR="006C79CF" w:rsidRPr="006C79CF">
        <w:rPr>
          <w:sz w:val="20"/>
          <w:szCs w:val="20"/>
        </w:rPr>
        <w:t>.2</w:t>
      </w:r>
      <w:r w:rsidR="00ED5A26">
        <w:rPr>
          <w:sz w:val="20"/>
          <w:szCs w:val="20"/>
        </w:rPr>
        <w:t>81</w:t>
      </w:r>
      <w:r w:rsidR="006C79CF" w:rsidRPr="006C79CF">
        <w:rPr>
          <w:sz w:val="20"/>
          <w:szCs w:val="20"/>
        </w:rPr>
        <w:t>,</w:t>
      </w:r>
      <w:r w:rsidR="00ED5A26">
        <w:rPr>
          <w:sz w:val="20"/>
          <w:szCs w:val="20"/>
        </w:rPr>
        <w:t>22</w:t>
      </w:r>
      <w:r w:rsidR="006C79CF">
        <w:rPr>
          <w:sz w:val="20"/>
          <w:szCs w:val="20"/>
        </w:rPr>
        <w:t xml:space="preserve"> euro</w:t>
      </w:r>
      <w:r>
        <w:rPr>
          <w:sz w:val="20"/>
          <w:szCs w:val="20"/>
        </w:rPr>
        <w:t>.</w:t>
      </w:r>
    </w:p>
    <w:p w14:paraId="7472592B" w14:textId="3D26073D" w:rsidR="000B5055" w:rsidRDefault="000B5055" w:rsidP="00E54A3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 inbreng in het kapitaal van de coöperatie is toegenomen met </w:t>
      </w:r>
      <w:r w:rsidR="00691113">
        <w:rPr>
          <w:sz w:val="20"/>
          <w:szCs w:val="20"/>
        </w:rPr>
        <w:t>2</w:t>
      </w:r>
      <w:r w:rsidRPr="000B5055">
        <w:rPr>
          <w:sz w:val="20"/>
          <w:szCs w:val="20"/>
        </w:rPr>
        <w:t>8</w:t>
      </w:r>
      <w:r w:rsidR="00691113">
        <w:rPr>
          <w:sz w:val="20"/>
          <w:szCs w:val="20"/>
        </w:rPr>
        <w:t>6</w:t>
      </w:r>
      <w:r w:rsidRPr="000B5055">
        <w:rPr>
          <w:sz w:val="20"/>
          <w:szCs w:val="20"/>
        </w:rPr>
        <w:t xml:space="preserve">.750 euro (zijnde </w:t>
      </w:r>
      <w:r w:rsidR="00691113">
        <w:rPr>
          <w:sz w:val="20"/>
          <w:szCs w:val="20"/>
        </w:rPr>
        <w:t>1.147</w:t>
      </w:r>
      <w:r w:rsidRPr="000B5055">
        <w:rPr>
          <w:sz w:val="20"/>
          <w:szCs w:val="20"/>
        </w:rPr>
        <w:t xml:space="preserve"> aandelen van 250 euro)</w:t>
      </w:r>
      <w:r>
        <w:rPr>
          <w:sz w:val="20"/>
          <w:szCs w:val="20"/>
        </w:rPr>
        <w:t xml:space="preserve"> en bedraagt 2.</w:t>
      </w:r>
      <w:r w:rsidR="00691113">
        <w:rPr>
          <w:sz w:val="20"/>
          <w:szCs w:val="20"/>
        </w:rPr>
        <w:t>382</w:t>
      </w:r>
      <w:r>
        <w:rPr>
          <w:sz w:val="20"/>
          <w:szCs w:val="20"/>
        </w:rPr>
        <w:t>.</w:t>
      </w:r>
      <w:r w:rsidR="00691113">
        <w:rPr>
          <w:sz w:val="20"/>
          <w:szCs w:val="20"/>
        </w:rPr>
        <w:t>2</w:t>
      </w:r>
      <w:r>
        <w:rPr>
          <w:sz w:val="20"/>
          <w:szCs w:val="20"/>
        </w:rPr>
        <w:t>50 euro (waarvan 20.000 euro onbeschikbare inbreng).</w:t>
      </w:r>
      <w:r w:rsidR="00A321F1">
        <w:rPr>
          <w:sz w:val="20"/>
          <w:szCs w:val="20"/>
        </w:rPr>
        <w:t xml:space="preserve"> Het streefdoel van 800 nieuwe aandelen in 202</w:t>
      </w:r>
      <w:r w:rsidR="006C084E">
        <w:rPr>
          <w:sz w:val="20"/>
          <w:szCs w:val="20"/>
        </w:rPr>
        <w:t>4</w:t>
      </w:r>
      <w:r w:rsidR="00A321F1">
        <w:rPr>
          <w:sz w:val="20"/>
          <w:szCs w:val="20"/>
        </w:rPr>
        <w:t xml:space="preserve"> is dus</w:t>
      </w:r>
      <w:r w:rsidR="006C084E">
        <w:rPr>
          <w:sz w:val="20"/>
          <w:szCs w:val="20"/>
        </w:rPr>
        <w:t xml:space="preserve">, in tegenstelling tot </w:t>
      </w:r>
      <w:r w:rsidR="00305A30">
        <w:rPr>
          <w:sz w:val="20"/>
          <w:szCs w:val="20"/>
        </w:rPr>
        <w:t xml:space="preserve">in </w:t>
      </w:r>
      <w:r w:rsidR="006C084E">
        <w:rPr>
          <w:sz w:val="20"/>
          <w:szCs w:val="20"/>
        </w:rPr>
        <w:t>het jaar 2023, ruimschoots</w:t>
      </w:r>
      <w:r w:rsidR="00A321F1">
        <w:rPr>
          <w:sz w:val="20"/>
          <w:szCs w:val="20"/>
        </w:rPr>
        <w:t xml:space="preserve"> gehaald.</w:t>
      </w:r>
      <w:r w:rsidR="00C266EA">
        <w:rPr>
          <w:sz w:val="20"/>
          <w:szCs w:val="20"/>
        </w:rPr>
        <w:t xml:space="preserve"> Ook het aantal aandeelhouders is teogenomen met 205 tot 1.891 aandeelhouders.</w:t>
      </w:r>
    </w:p>
    <w:p w14:paraId="61D3BB0F" w14:textId="77777777" w:rsidR="007372AA" w:rsidRDefault="007372AA" w:rsidP="007372AA">
      <w:pPr>
        <w:pStyle w:val="Standard"/>
        <w:jc w:val="both"/>
        <w:rPr>
          <w:sz w:val="20"/>
          <w:szCs w:val="20"/>
        </w:rPr>
      </w:pPr>
      <w:r>
        <w:rPr>
          <w:b/>
          <w:sz w:val="20"/>
          <w:szCs w:val="20"/>
        </w:rPr>
        <w:t>Enkele opmerkingen</w:t>
      </w:r>
      <w:r w:rsidR="00572EA4">
        <w:rPr>
          <w:b/>
          <w:sz w:val="20"/>
          <w:szCs w:val="20"/>
        </w:rPr>
        <w:t xml:space="preserve"> in detail</w:t>
      </w:r>
      <w:r>
        <w:rPr>
          <w:b/>
          <w:sz w:val="20"/>
          <w:szCs w:val="20"/>
        </w:rPr>
        <w:t xml:space="preserve"> bij de jaarrekening</w:t>
      </w:r>
    </w:p>
    <w:p w14:paraId="12BC12C8" w14:textId="2D2EB72F" w:rsidR="00572EA4" w:rsidRDefault="007479D7" w:rsidP="00E54A3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De openstaande handels</w:t>
      </w:r>
      <w:r w:rsidR="00572EA4" w:rsidRPr="00572EA4">
        <w:rPr>
          <w:sz w:val="20"/>
          <w:szCs w:val="20"/>
        </w:rPr>
        <w:t xml:space="preserve">vorderingen </w:t>
      </w:r>
      <w:r>
        <w:rPr>
          <w:sz w:val="20"/>
          <w:szCs w:val="20"/>
        </w:rPr>
        <w:t xml:space="preserve">zijn gezakt van </w:t>
      </w:r>
      <w:r w:rsidRPr="007479D7">
        <w:rPr>
          <w:sz w:val="20"/>
          <w:szCs w:val="20"/>
        </w:rPr>
        <w:t>8.634,26</w:t>
      </w:r>
      <w:r>
        <w:rPr>
          <w:sz w:val="20"/>
          <w:szCs w:val="20"/>
        </w:rPr>
        <w:t xml:space="preserve"> naar </w:t>
      </w:r>
      <w:r w:rsidRPr="007479D7">
        <w:rPr>
          <w:sz w:val="20"/>
          <w:szCs w:val="20"/>
        </w:rPr>
        <w:t xml:space="preserve">5.623,68 </w:t>
      </w:r>
      <w:r>
        <w:rPr>
          <w:sz w:val="20"/>
          <w:szCs w:val="20"/>
        </w:rPr>
        <w:t xml:space="preserve">euro. Op het moment van onze controle (dd. 21/3/2025) stond hiervan enkel nog een beperkte </w:t>
      </w:r>
      <w:r w:rsidR="00572EA4" w:rsidRPr="00572EA4">
        <w:rPr>
          <w:sz w:val="20"/>
          <w:szCs w:val="20"/>
        </w:rPr>
        <w:t>klanten</w:t>
      </w:r>
      <w:r>
        <w:rPr>
          <w:sz w:val="20"/>
          <w:szCs w:val="20"/>
        </w:rPr>
        <w:t xml:space="preserve">vordering van </w:t>
      </w:r>
      <w:r w:rsidRPr="007479D7">
        <w:rPr>
          <w:sz w:val="20"/>
          <w:szCs w:val="20"/>
        </w:rPr>
        <w:t xml:space="preserve">390,00 </w:t>
      </w:r>
      <w:r>
        <w:rPr>
          <w:sz w:val="20"/>
          <w:szCs w:val="20"/>
        </w:rPr>
        <w:t xml:space="preserve">euro open, evenals de ‘Vooruitbetaling’ van </w:t>
      </w:r>
      <w:r w:rsidRPr="007479D7">
        <w:rPr>
          <w:sz w:val="20"/>
          <w:szCs w:val="20"/>
        </w:rPr>
        <w:t xml:space="preserve">1.682,75 </w:t>
      </w:r>
      <w:r>
        <w:rPr>
          <w:sz w:val="20"/>
          <w:szCs w:val="20"/>
        </w:rPr>
        <w:t xml:space="preserve">euro, hetgeen het voorschot aan een notaris is voor de aankoop van een grond. Deze aankoop is ondertussen ook ondertekend. </w:t>
      </w:r>
      <w:r w:rsidR="005E7F9C">
        <w:rPr>
          <w:sz w:val="20"/>
          <w:szCs w:val="20"/>
        </w:rPr>
        <w:t xml:space="preserve">Ook de subsidie die eind 2023 nog als te ontvangen bedrag op rekening 416000 stond, is in de loop van 2024 ontvangen. </w:t>
      </w:r>
      <w:r>
        <w:rPr>
          <w:sz w:val="20"/>
          <w:szCs w:val="20"/>
        </w:rPr>
        <w:t>We kunnen dus conclude</w:t>
      </w:r>
      <w:r w:rsidR="005A324A">
        <w:rPr>
          <w:sz w:val="20"/>
          <w:szCs w:val="20"/>
        </w:rPr>
        <w:t>r</w:t>
      </w:r>
      <w:r>
        <w:rPr>
          <w:sz w:val="20"/>
          <w:szCs w:val="20"/>
        </w:rPr>
        <w:t xml:space="preserve">en dat er </w:t>
      </w:r>
      <w:r w:rsidR="00B144CA" w:rsidRPr="00572EA4">
        <w:rPr>
          <w:sz w:val="20"/>
          <w:szCs w:val="20"/>
        </w:rPr>
        <w:t xml:space="preserve">geen </w:t>
      </w:r>
      <w:r>
        <w:rPr>
          <w:sz w:val="20"/>
          <w:szCs w:val="20"/>
        </w:rPr>
        <w:t xml:space="preserve">noemenswaardig </w:t>
      </w:r>
      <w:r w:rsidR="00B144CA" w:rsidRPr="00572EA4">
        <w:rPr>
          <w:sz w:val="20"/>
          <w:szCs w:val="20"/>
        </w:rPr>
        <w:t xml:space="preserve">probleem </w:t>
      </w:r>
      <w:r>
        <w:rPr>
          <w:sz w:val="20"/>
          <w:szCs w:val="20"/>
        </w:rPr>
        <w:t xml:space="preserve">is </w:t>
      </w:r>
      <w:r w:rsidR="00B144CA" w:rsidRPr="00572EA4">
        <w:rPr>
          <w:sz w:val="20"/>
          <w:szCs w:val="20"/>
        </w:rPr>
        <w:t>met achterstallige betalingen</w:t>
      </w:r>
      <w:r w:rsidR="00B144CA">
        <w:rPr>
          <w:sz w:val="20"/>
          <w:szCs w:val="20"/>
        </w:rPr>
        <w:t>.</w:t>
      </w:r>
    </w:p>
    <w:p w14:paraId="743655A5" w14:textId="15FFB556" w:rsidR="005E7F9C" w:rsidRDefault="005E7F9C" w:rsidP="00E54A3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De cash positie</w:t>
      </w:r>
      <w:r w:rsidR="007B12B1">
        <w:rPr>
          <w:sz w:val="20"/>
          <w:szCs w:val="20"/>
        </w:rPr>
        <w:t xml:space="preserve"> (som van de verschillende spaar- en zichtrekeningen)</w:t>
      </w:r>
      <w:r>
        <w:rPr>
          <w:sz w:val="20"/>
          <w:szCs w:val="20"/>
        </w:rPr>
        <w:t xml:space="preserve"> is enorm verbeterd in de loop van 2024, hetgeen ook de bedoeling is met oog op de komende aankoop van grond</w:t>
      </w:r>
      <w:r w:rsidR="007B12B1">
        <w:rPr>
          <w:sz w:val="20"/>
          <w:szCs w:val="20"/>
        </w:rPr>
        <w:t xml:space="preserve"> voor ‘Loof &amp; Bezen’</w:t>
      </w:r>
      <w:r>
        <w:rPr>
          <w:sz w:val="20"/>
          <w:szCs w:val="20"/>
        </w:rPr>
        <w:t>.</w:t>
      </w:r>
    </w:p>
    <w:p w14:paraId="4D4D99AB" w14:textId="434D810C" w:rsidR="00B9332B" w:rsidRDefault="007B3D30" w:rsidP="00E54A3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Omwille van de nauwe verwevenheid met de Stichting en m</w:t>
      </w:r>
      <w:r w:rsidR="007372AA" w:rsidRPr="007372AA">
        <w:rPr>
          <w:sz w:val="20"/>
          <w:szCs w:val="20"/>
        </w:rPr>
        <w:t>et</w:t>
      </w:r>
      <w:r w:rsidR="007372AA">
        <w:rPr>
          <w:sz w:val="20"/>
          <w:szCs w:val="20"/>
        </w:rPr>
        <w:t xml:space="preserve"> het</w:t>
      </w:r>
      <w:r w:rsidR="007372AA" w:rsidRPr="007372AA">
        <w:rPr>
          <w:sz w:val="20"/>
          <w:szCs w:val="20"/>
        </w:rPr>
        <w:t xml:space="preserve"> oog op </w:t>
      </w:r>
      <w:r>
        <w:rPr>
          <w:sz w:val="20"/>
          <w:szCs w:val="20"/>
        </w:rPr>
        <w:t xml:space="preserve">voldoende </w:t>
      </w:r>
      <w:r w:rsidR="007372AA" w:rsidRPr="007372AA">
        <w:rPr>
          <w:sz w:val="20"/>
          <w:szCs w:val="20"/>
        </w:rPr>
        <w:t>transparantie</w:t>
      </w:r>
      <w:r>
        <w:rPr>
          <w:sz w:val="20"/>
          <w:szCs w:val="20"/>
        </w:rPr>
        <w:t xml:space="preserve"> hierrond, </w:t>
      </w:r>
      <w:r w:rsidR="007372AA">
        <w:rPr>
          <w:sz w:val="20"/>
          <w:szCs w:val="20"/>
        </w:rPr>
        <w:t>stel</w:t>
      </w:r>
      <w:r>
        <w:rPr>
          <w:sz w:val="20"/>
          <w:szCs w:val="20"/>
        </w:rPr>
        <w:t>d</w:t>
      </w:r>
      <w:r w:rsidR="007372AA">
        <w:rPr>
          <w:sz w:val="20"/>
          <w:szCs w:val="20"/>
        </w:rPr>
        <w:t xml:space="preserve">en wij </w:t>
      </w:r>
      <w:r>
        <w:rPr>
          <w:sz w:val="20"/>
          <w:szCs w:val="20"/>
        </w:rPr>
        <w:t xml:space="preserve">vorig jaar </w:t>
      </w:r>
      <w:r w:rsidR="007372AA">
        <w:rPr>
          <w:sz w:val="20"/>
          <w:szCs w:val="20"/>
        </w:rPr>
        <w:t>voor</w:t>
      </w:r>
      <w:r w:rsidR="007372AA" w:rsidRPr="007372AA">
        <w:rPr>
          <w:sz w:val="20"/>
          <w:szCs w:val="20"/>
        </w:rPr>
        <w:t xml:space="preserve"> om </w:t>
      </w:r>
      <w:r>
        <w:rPr>
          <w:sz w:val="20"/>
          <w:szCs w:val="20"/>
        </w:rPr>
        <w:t xml:space="preserve">zowel </w:t>
      </w:r>
      <w:r w:rsidR="007372AA" w:rsidRPr="007372AA">
        <w:rPr>
          <w:sz w:val="20"/>
          <w:szCs w:val="20"/>
        </w:rPr>
        <w:t>de leveranciersrekening</w:t>
      </w:r>
      <w:r>
        <w:rPr>
          <w:rFonts w:cs="Calibri"/>
          <w:color w:val="1F1E1F"/>
          <w:sz w:val="20"/>
          <w:szCs w:val="20"/>
        </w:rPr>
        <w:t xml:space="preserve">, als de kostenrekening </w:t>
      </w:r>
      <w:r w:rsidRPr="007372AA">
        <w:rPr>
          <w:sz w:val="20"/>
          <w:szCs w:val="20"/>
        </w:rPr>
        <w:t>'</w:t>
      </w:r>
      <w:r>
        <w:rPr>
          <w:rFonts w:cs="Calibri"/>
          <w:color w:val="1F1E1F"/>
          <w:sz w:val="20"/>
          <w:szCs w:val="20"/>
        </w:rPr>
        <w:t>Externe prestaties algemeen</w:t>
      </w:r>
      <w:r w:rsidRPr="007372AA">
        <w:rPr>
          <w:sz w:val="20"/>
          <w:szCs w:val="20"/>
        </w:rPr>
        <w:t>'</w:t>
      </w:r>
      <w:r>
        <w:rPr>
          <w:sz w:val="20"/>
          <w:szCs w:val="20"/>
        </w:rPr>
        <w:t xml:space="preserve"> </w:t>
      </w:r>
      <w:r w:rsidR="007372AA" w:rsidRPr="007372AA">
        <w:rPr>
          <w:sz w:val="20"/>
          <w:szCs w:val="20"/>
        </w:rPr>
        <w:t xml:space="preserve"> op te spl</w:t>
      </w:r>
      <w:r w:rsidR="007372AA">
        <w:rPr>
          <w:sz w:val="20"/>
          <w:szCs w:val="20"/>
        </w:rPr>
        <w:t xml:space="preserve">itsen in </w:t>
      </w:r>
      <w:r w:rsidR="007372AA" w:rsidRPr="002D6CED">
        <w:rPr>
          <w:i/>
          <w:iCs/>
          <w:sz w:val="20"/>
          <w:szCs w:val="20"/>
        </w:rPr>
        <w:t>'de Stichting'</w:t>
      </w:r>
      <w:r w:rsidR="007372AA">
        <w:rPr>
          <w:sz w:val="20"/>
          <w:szCs w:val="20"/>
        </w:rPr>
        <w:t xml:space="preserve"> enerzijds</w:t>
      </w:r>
      <w:r w:rsidR="007372AA" w:rsidRPr="007372AA">
        <w:rPr>
          <w:sz w:val="20"/>
          <w:szCs w:val="20"/>
        </w:rPr>
        <w:t xml:space="preserve"> en </w:t>
      </w:r>
      <w:r w:rsidR="007372AA" w:rsidRPr="002D6CED">
        <w:rPr>
          <w:i/>
          <w:iCs/>
          <w:sz w:val="20"/>
          <w:szCs w:val="20"/>
        </w:rPr>
        <w:t>'overige'</w:t>
      </w:r>
      <w:r w:rsidR="007372AA" w:rsidRPr="007372AA">
        <w:rPr>
          <w:sz w:val="20"/>
          <w:szCs w:val="20"/>
        </w:rPr>
        <w:t xml:space="preserve"> anderzijds</w:t>
      </w:r>
      <w:r w:rsidR="00B9332B">
        <w:rPr>
          <w:sz w:val="20"/>
          <w:szCs w:val="20"/>
        </w:rPr>
        <w:t>.</w:t>
      </w:r>
      <w:r>
        <w:rPr>
          <w:sz w:val="20"/>
          <w:szCs w:val="20"/>
        </w:rPr>
        <w:t xml:space="preserve"> Dit is echter nog niet gebeurd. Daarom herhalen we hierbij deze suggestie voor d</w:t>
      </w:r>
      <w:r w:rsidR="00E62372">
        <w:rPr>
          <w:sz w:val="20"/>
          <w:szCs w:val="20"/>
        </w:rPr>
        <w:t>i</w:t>
      </w:r>
      <w:r>
        <w:rPr>
          <w:sz w:val="20"/>
          <w:szCs w:val="20"/>
        </w:rPr>
        <w:t>e 2 rekeningen</w:t>
      </w:r>
      <w:r w:rsidR="0091080C">
        <w:rPr>
          <w:sz w:val="20"/>
          <w:szCs w:val="20"/>
        </w:rPr>
        <w:t xml:space="preserve"> en vragen we b</w:t>
      </w:r>
      <w:r>
        <w:rPr>
          <w:sz w:val="20"/>
          <w:szCs w:val="20"/>
        </w:rPr>
        <w:t xml:space="preserve">ovendien </w:t>
      </w:r>
      <w:r w:rsidR="0091080C">
        <w:rPr>
          <w:sz w:val="20"/>
          <w:szCs w:val="20"/>
        </w:rPr>
        <w:t xml:space="preserve">hetzelfde </w:t>
      </w:r>
      <w:r>
        <w:rPr>
          <w:sz w:val="20"/>
          <w:szCs w:val="20"/>
        </w:rPr>
        <w:t xml:space="preserve">voor </w:t>
      </w:r>
      <w:r w:rsidR="007710E7">
        <w:rPr>
          <w:sz w:val="20"/>
          <w:szCs w:val="20"/>
        </w:rPr>
        <w:t xml:space="preserve">enerzijds </w:t>
      </w:r>
      <w:r>
        <w:rPr>
          <w:sz w:val="20"/>
          <w:szCs w:val="20"/>
        </w:rPr>
        <w:t xml:space="preserve">de klantenvorderingen </w:t>
      </w:r>
      <w:r w:rsidR="007710E7">
        <w:rPr>
          <w:rFonts w:cs="Calibri"/>
          <w:color w:val="1F1E1F"/>
          <w:sz w:val="20"/>
          <w:szCs w:val="20"/>
        </w:rPr>
        <w:t xml:space="preserve">en anderzijds de opbrengstenrekening </w:t>
      </w:r>
      <w:r w:rsidR="007710E7" w:rsidRPr="007710E7">
        <w:rPr>
          <w:rFonts w:cs="Calibri"/>
          <w:color w:val="1F1E1F"/>
          <w:sz w:val="20"/>
          <w:szCs w:val="20"/>
        </w:rPr>
        <w:t>‘Doorgerekende kosten</w:t>
      </w:r>
      <w:r w:rsidR="00E62372">
        <w:rPr>
          <w:rFonts w:cs="Calibri"/>
          <w:color w:val="1F1E1F"/>
          <w:sz w:val="20"/>
          <w:szCs w:val="20"/>
        </w:rPr>
        <w:t>’</w:t>
      </w:r>
      <w:r w:rsidR="0091080C">
        <w:rPr>
          <w:rFonts w:cs="Calibri"/>
          <w:color w:val="1F1E1F"/>
          <w:sz w:val="20"/>
          <w:szCs w:val="20"/>
        </w:rPr>
        <w:t>, waarbij dit eveneens het geval is</w:t>
      </w:r>
      <w:r w:rsidR="007710E7">
        <w:rPr>
          <w:rFonts w:cs="Calibri"/>
          <w:color w:val="1F1E1F"/>
          <w:sz w:val="20"/>
          <w:szCs w:val="20"/>
        </w:rPr>
        <w:t>.</w:t>
      </w:r>
    </w:p>
    <w:p w14:paraId="1EB188E1" w14:textId="46B05E64" w:rsidR="007710E7" w:rsidRPr="00DC4ACF" w:rsidRDefault="0006036E" w:rsidP="00E54A37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Ondanks een sterke stijging van het aantal aandelen dat in 2024 verkocht werd ten opzichte van in 2023, is de opbrengestenrekening </w:t>
      </w:r>
      <w:r w:rsidRPr="0006036E">
        <w:rPr>
          <w:sz w:val="20"/>
          <w:szCs w:val="20"/>
        </w:rPr>
        <w:t>“Recup. admin.kost/aandeelhoudersbijdrage”</w:t>
      </w:r>
      <w:r>
        <w:rPr>
          <w:sz w:val="20"/>
          <w:szCs w:val="20"/>
        </w:rPr>
        <w:t xml:space="preserve"> tóch </w:t>
      </w:r>
      <w:r w:rsidRPr="0006036E">
        <w:rPr>
          <w:sz w:val="20"/>
          <w:szCs w:val="20"/>
        </w:rPr>
        <w:t xml:space="preserve">lichtjes gezakt </w:t>
      </w:r>
      <w:r>
        <w:rPr>
          <w:sz w:val="20"/>
          <w:szCs w:val="20"/>
        </w:rPr>
        <w:t xml:space="preserve">in 2024 in vergelijking met 2023. De verklaring hiervoor is dat de regel m.b.t. de </w:t>
      </w:r>
      <w:r w:rsidRPr="0006036E">
        <w:rPr>
          <w:sz w:val="20"/>
          <w:szCs w:val="20"/>
        </w:rPr>
        <w:t xml:space="preserve">aandeelhoudersbijdrage in </w:t>
      </w:r>
      <w:r>
        <w:rPr>
          <w:sz w:val="20"/>
          <w:szCs w:val="20"/>
        </w:rPr>
        <w:t xml:space="preserve">de </w:t>
      </w:r>
      <w:r w:rsidRPr="0006036E">
        <w:rPr>
          <w:sz w:val="20"/>
          <w:szCs w:val="20"/>
        </w:rPr>
        <w:t>werkingskosten</w:t>
      </w:r>
      <w:r>
        <w:rPr>
          <w:sz w:val="20"/>
          <w:szCs w:val="20"/>
        </w:rPr>
        <w:t xml:space="preserve"> veranderd is</w:t>
      </w:r>
      <w:r w:rsidRPr="0006036E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deze bijdrage is niet langer </w:t>
      </w:r>
      <w:r w:rsidRPr="0006036E">
        <w:rPr>
          <w:sz w:val="20"/>
          <w:szCs w:val="20"/>
        </w:rPr>
        <w:t xml:space="preserve">10 </w:t>
      </w:r>
      <w:r>
        <w:rPr>
          <w:sz w:val="20"/>
          <w:szCs w:val="20"/>
        </w:rPr>
        <w:t>euro</w:t>
      </w:r>
      <w:r w:rsidRPr="0006036E">
        <w:rPr>
          <w:sz w:val="20"/>
          <w:szCs w:val="20"/>
        </w:rPr>
        <w:t xml:space="preserve"> </w:t>
      </w:r>
      <w:r w:rsidRPr="0006036E">
        <w:rPr>
          <w:i/>
          <w:iCs/>
          <w:sz w:val="20"/>
          <w:szCs w:val="20"/>
        </w:rPr>
        <w:t>per</w:t>
      </w:r>
      <w:r>
        <w:rPr>
          <w:i/>
          <w:iCs/>
          <w:sz w:val="20"/>
          <w:szCs w:val="20"/>
        </w:rPr>
        <w:t xml:space="preserve"> nieuw</w:t>
      </w:r>
      <w:r w:rsidRPr="0006036E">
        <w:rPr>
          <w:i/>
          <w:iCs/>
          <w:sz w:val="20"/>
          <w:szCs w:val="20"/>
        </w:rPr>
        <w:t xml:space="preserve"> aandeel</w:t>
      </w:r>
      <w:r w:rsidRPr="0006036E">
        <w:rPr>
          <w:sz w:val="20"/>
          <w:szCs w:val="20"/>
        </w:rPr>
        <w:t>, maar</w:t>
      </w:r>
      <w:r>
        <w:rPr>
          <w:sz w:val="20"/>
          <w:szCs w:val="20"/>
        </w:rPr>
        <w:t xml:space="preserve"> wel </w:t>
      </w:r>
      <w:r w:rsidRPr="0006036E">
        <w:rPr>
          <w:sz w:val="20"/>
          <w:szCs w:val="20"/>
        </w:rPr>
        <w:t xml:space="preserve">10 </w:t>
      </w:r>
      <w:r>
        <w:rPr>
          <w:sz w:val="20"/>
          <w:szCs w:val="20"/>
        </w:rPr>
        <w:t>euro</w:t>
      </w:r>
      <w:r w:rsidRPr="0006036E">
        <w:rPr>
          <w:sz w:val="20"/>
          <w:szCs w:val="20"/>
        </w:rPr>
        <w:t xml:space="preserve"> </w:t>
      </w:r>
      <w:r w:rsidRPr="0006036E">
        <w:rPr>
          <w:i/>
          <w:iCs/>
          <w:sz w:val="20"/>
          <w:szCs w:val="20"/>
        </w:rPr>
        <w:t>per</w:t>
      </w:r>
      <w:r w:rsidRPr="0006036E"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nieuw</w:t>
      </w:r>
      <w:r w:rsidRPr="0006036E">
        <w:rPr>
          <w:i/>
          <w:iCs/>
          <w:sz w:val="20"/>
          <w:szCs w:val="20"/>
        </w:rPr>
        <w:t xml:space="preserve"> aandelenpakket</w:t>
      </w:r>
      <w:r w:rsidRPr="0006036E">
        <w:rPr>
          <w:sz w:val="20"/>
          <w:szCs w:val="20"/>
        </w:rPr>
        <w:t xml:space="preserve"> </w:t>
      </w:r>
      <w:r>
        <w:rPr>
          <w:sz w:val="20"/>
          <w:szCs w:val="20"/>
        </w:rPr>
        <w:t>dat gekocht wordt door een specifiek aandeelhouder.</w:t>
      </w:r>
    </w:p>
    <w:p w14:paraId="350D116F" w14:textId="77777777" w:rsidR="005A414B" w:rsidRDefault="005A414B" w:rsidP="005A414B">
      <w:pPr>
        <w:pStyle w:val="Standard"/>
        <w:jc w:val="both"/>
      </w:pPr>
      <w:r>
        <w:rPr>
          <w:b/>
          <w:sz w:val="20"/>
          <w:szCs w:val="20"/>
        </w:rPr>
        <w:lastRenderedPageBreak/>
        <w:t xml:space="preserve">Verantwoordelijkheid van </w:t>
      </w:r>
      <w:r w:rsidR="00C41DC5">
        <w:rPr>
          <w:b/>
          <w:sz w:val="20"/>
          <w:szCs w:val="20"/>
        </w:rPr>
        <w:t>het</w:t>
      </w:r>
      <w:r>
        <w:rPr>
          <w:b/>
          <w:sz w:val="20"/>
          <w:szCs w:val="20"/>
        </w:rPr>
        <w:t xml:space="preserve"> bestuur voor het opstellen van de jaarrekening</w:t>
      </w:r>
    </w:p>
    <w:p w14:paraId="5162A0C5" w14:textId="77777777" w:rsidR="005A414B" w:rsidRDefault="00C41DC5" w:rsidP="005A414B">
      <w:pPr>
        <w:pStyle w:val="Standard"/>
        <w:jc w:val="both"/>
      </w:pPr>
      <w:r>
        <w:rPr>
          <w:sz w:val="20"/>
          <w:szCs w:val="20"/>
        </w:rPr>
        <w:t>Het</w:t>
      </w:r>
      <w:r w:rsidR="005A414B">
        <w:rPr>
          <w:sz w:val="20"/>
          <w:szCs w:val="20"/>
        </w:rPr>
        <w:t xml:space="preserve"> bestuur is verantwoordelijk voor het opstellen van de jaarrekening volgens het in België geldend boekhoudkundig referentie</w:t>
      </w:r>
      <w:r>
        <w:rPr>
          <w:sz w:val="20"/>
          <w:szCs w:val="20"/>
        </w:rPr>
        <w:t>stels</w:t>
      </w:r>
      <w:r w:rsidR="005A414B">
        <w:rPr>
          <w:sz w:val="20"/>
          <w:szCs w:val="20"/>
        </w:rPr>
        <w:t xml:space="preserve">el. </w:t>
      </w:r>
      <w:r>
        <w:rPr>
          <w:sz w:val="20"/>
          <w:szCs w:val="20"/>
        </w:rPr>
        <w:t>Verder is het bestuur</w:t>
      </w:r>
      <w:r w:rsidR="005A414B">
        <w:rPr>
          <w:sz w:val="20"/>
          <w:szCs w:val="20"/>
        </w:rPr>
        <w:t xml:space="preserve"> verantwoordelijk voor het implementeren van de beheersystemen die nodig zijn voor het opstellen van een jaarrekening die geen significante afwijkingen bevat, ten gevolge van fouten of fraude.</w:t>
      </w:r>
    </w:p>
    <w:p w14:paraId="4FBE906A" w14:textId="77777777" w:rsidR="005A414B" w:rsidRDefault="005A414B" w:rsidP="005A414B">
      <w:pPr>
        <w:pStyle w:val="Standard"/>
        <w:jc w:val="both"/>
      </w:pPr>
      <w:r>
        <w:rPr>
          <w:b/>
          <w:sz w:val="20"/>
          <w:szCs w:val="20"/>
        </w:rPr>
        <w:t>Verantwoordelijkheid van de controlerende vennoten</w:t>
      </w:r>
    </w:p>
    <w:p w14:paraId="5CB70D18" w14:textId="1BD4D72C" w:rsidR="005A414B" w:rsidRDefault="005A414B" w:rsidP="005A414B">
      <w:pPr>
        <w:pStyle w:val="Standard"/>
        <w:jc w:val="both"/>
      </w:pPr>
      <w:r>
        <w:rPr>
          <w:sz w:val="20"/>
          <w:szCs w:val="20"/>
        </w:rPr>
        <w:t xml:space="preserve">Het is onze taak een oordeel over de jaarrekening te vellen op basis van een grondige controle. </w:t>
      </w:r>
      <w:r w:rsidR="0083134C">
        <w:rPr>
          <w:sz w:val="20"/>
          <w:szCs w:val="20"/>
        </w:rPr>
        <w:t>Na het grondig nalezen van het financieel verslag 2024, voerden wij deze controle uit op vrijdag 21/3/2025 in het kantoor van DLG in het bijzijn van Ailan Iriks, bestuurder en penningsmeester van DLG, en van Petra Tas, coördinator bij DLG. In het kader van onze controle-opdracht hebben wij van Petra en Ailan de gevraagde ophelderingen en inlichtingen verkregen, hebben wij de bankuittreksels per 31/12/2024 gecontroleerd, evenals een steekproef van enkele betalingen en van enkele leveranciers</w:t>
      </w:r>
      <w:r>
        <w:rPr>
          <w:sz w:val="20"/>
          <w:szCs w:val="20"/>
        </w:rPr>
        <w:t>facturen.</w:t>
      </w:r>
    </w:p>
    <w:p w14:paraId="757E42B5" w14:textId="386A5CE1" w:rsidR="00B72509" w:rsidRDefault="00B72509" w:rsidP="00B72509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Wij zijn van men</w:t>
      </w:r>
      <w:r w:rsidR="009D235D">
        <w:rPr>
          <w:sz w:val="20"/>
          <w:szCs w:val="20"/>
        </w:rPr>
        <w:t xml:space="preserve">ing dat de gegeven informatie </w:t>
      </w:r>
      <w:r>
        <w:rPr>
          <w:sz w:val="20"/>
          <w:szCs w:val="20"/>
        </w:rPr>
        <w:t>voldoende is om hierop ons oordeel zonder voorbehoud te baseren.</w:t>
      </w:r>
    </w:p>
    <w:p w14:paraId="07D216AA" w14:textId="77777777" w:rsidR="00B72509" w:rsidRDefault="00B72509" w:rsidP="00B72509">
      <w:pPr>
        <w:pStyle w:val="Standard"/>
        <w:jc w:val="both"/>
      </w:pPr>
      <w:r>
        <w:rPr>
          <w:b/>
          <w:sz w:val="20"/>
          <w:szCs w:val="20"/>
        </w:rPr>
        <w:t xml:space="preserve">Oordeel </w:t>
      </w:r>
      <w:r w:rsidR="009D235D">
        <w:rPr>
          <w:b/>
          <w:sz w:val="20"/>
          <w:szCs w:val="20"/>
        </w:rPr>
        <w:t>z</w:t>
      </w:r>
      <w:r>
        <w:rPr>
          <w:b/>
          <w:sz w:val="20"/>
          <w:szCs w:val="20"/>
        </w:rPr>
        <w:t>onder voorbehoud</w:t>
      </w:r>
    </w:p>
    <w:p w14:paraId="21BC2371" w14:textId="4CB4D452" w:rsidR="00B71396" w:rsidRDefault="00B71396" w:rsidP="00B71396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Voor zover wij kunnen zien, geeft het financieel verslag een getrouw beeld van de balans en de financiële toestand van DLG op 31 december 202</w:t>
      </w:r>
      <w:r w:rsidR="0083134C">
        <w:rPr>
          <w:sz w:val="20"/>
          <w:szCs w:val="20"/>
        </w:rPr>
        <w:t>4</w:t>
      </w:r>
      <w:r>
        <w:rPr>
          <w:sz w:val="20"/>
          <w:szCs w:val="20"/>
        </w:rPr>
        <w:t>, evenals van haar financiële resultaten voor het boekjaar eindigend op die datum.</w:t>
      </w:r>
    </w:p>
    <w:p w14:paraId="2011F10B" w14:textId="77777777" w:rsidR="00B71396" w:rsidRPr="0070779A" w:rsidRDefault="00B71396" w:rsidP="00B71396">
      <w:pPr>
        <w:pStyle w:val="Standard"/>
        <w:jc w:val="both"/>
        <w:rPr>
          <w:sz w:val="20"/>
          <w:szCs w:val="20"/>
        </w:rPr>
      </w:pPr>
    </w:p>
    <w:p w14:paraId="6B58FD66" w14:textId="1E2BC342" w:rsidR="00ED2407" w:rsidRPr="0070779A" w:rsidRDefault="008D1751">
      <w:pPr>
        <w:rPr>
          <w:sz w:val="20"/>
          <w:szCs w:val="20"/>
        </w:rPr>
      </w:pPr>
      <w:r w:rsidRPr="0070779A">
        <w:rPr>
          <w:sz w:val="20"/>
          <w:szCs w:val="20"/>
        </w:rPr>
        <w:t xml:space="preserve">Gent, </w:t>
      </w:r>
      <w:r w:rsidR="00A73923">
        <w:rPr>
          <w:sz w:val="20"/>
          <w:szCs w:val="20"/>
        </w:rPr>
        <w:t>31</w:t>
      </w:r>
      <w:r w:rsidRPr="0070779A">
        <w:rPr>
          <w:sz w:val="20"/>
          <w:szCs w:val="20"/>
        </w:rPr>
        <w:t xml:space="preserve"> </w:t>
      </w:r>
      <w:r w:rsidR="00A73923">
        <w:rPr>
          <w:sz w:val="20"/>
          <w:szCs w:val="20"/>
        </w:rPr>
        <w:t>maart</w:t>
      </w:r>
      <w:r w:rsidRPr="0070779A">
        <w:rPr>
          <w:sz w:val="20"/>
          <w:szCs w:val="20"/>
        </w:rPr>
        <w:t xml:space="preserve"> 202</w:t>
      </w:r>
      <w:r w:rsidR="00A73923">
        <w:rPr>
          <w:sz w:val="20"/>
          <w:szCs w:val="20"/>
        </w:rPr>
        <w:t>5</w:t>
      </w:r>
    </w:p>
    <w:p w14:paraId="4FFE1A0E" w14:textId="77777777" w:rsidR="007E1E05" w:rsidRPr="0070779A" w:rsidRDefault="007E1E05">
      <w:pPr>
        <w:rPr>
          <w:sz w:val="20"/>
          <w:szCs w:val="20"/>
        </w:rPr>
      </w:pPr>
    </w:p>
    <w:p w14:paraId="623A696B" w14:textId="664D32BE" w:rsidR="007E1E05" w:rsidRPr="0070779A" w:rsidRDefault="009E63B3">
      <w:pPr>
        <w:rPr>
          <w:sz w:val="20"/>
          <w:szCs w:val="20"/>
        </w:rPr>
      </w:pPr>
      <w:r w:rsidRPr="0070779A">
        <w:rPr>
          <w:sz w:val="20"/>
          <w:szCs w:val="20"/>
        </w:rPr>
        <w:t>Steven Beerts</w:t>
      </w:r>
      <w:r w:rsidRPr="0070779A">
        <w:rPr>
          <w:sz w:val="20"/>
          <w:szCs w:val="20"/>
        </w:rPr>
        <w:tab/>
      </w:r>
      <w:r w:rsidRPr="0070779A">
        <w:rPr>
          <w:sz w:val="20"/>
          <w:szCs w:val="20"/>
        </w:rPr>
        <w:tab/>
        <w:t>Guido Van Damme</w:t>
      </w:r>
    </w:p>
    <w:p w14:paraId="75EB2202" w14:textId="77777777" w:rsidR="009E63B3" w:rsidRPr="0070779A" w:rsidRDefault="009E63B3">
      <w:pPr>
        <w:rPr>
          <w:sz w:val="20"/>
          <w:szCs w:val="20"/>
        </w:rPr>
      </w:pPr>
    </w:p>
    <w:sectPr w:rsidR="009E63B3" w:rsidRPr="0070779A" w:rsidSect="008A7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407"/>
    <w:rsid w:val="0006036E"/>
    <w:rsid w:val="00070032"/>
    <w:rsid w:val="000B5055"/>
    <w:rsid w:val="000E1AA4"/>
    <w:rsid w:val="00122C3F"/>
    <w:rsid w:val="001467B8"/>
    <w:rsid w:val="001476FC"/>
    <w:rsid w:val="00155725"/>
    <w:rsid w:val="00192141"/>
    <w:rsid w:val="00235337"/>
    <w:rsid w:val="002A4B48"/>
    <w:rsid w:val="002D3FF5"/>
    <w:rsid w:val="002D6CED"/>
    <w:rsid w:val="003015D8"/>
    <w:rsid w:val="00305A30"/>
    <w:rsid w:val="003E5FC1"/>
    <w:rsid w:val="00442B82"/>
    <w:rsid w:val="004454FE"/>
    <w:rsid w:val="004770C0"/>
    <w:rsid w:val="004864EA"/>
    <w:rsid w:val="004D0C63"/>
    <w:rsid w:val="004E74C4"/>
    <w:rsid w:val="004F6DE8"/>
    <w:rsid w:val="0052020B"/>
    <w:rsid w:val="0053505A"/>
    <w:rsid w:val="00572EA4"/>
    <w:rsid w:val="005938FB"/>
    <w:rsid w:val="005A324A"/>
    <w:rsid w:val="005A414B"/>
    <w:rsid w:val="005E6FFC"/>
    <w:rsid w:val="005E7F9C"/>
    <w:rsid w:val="00640115"/>
    <w:rsid w:val="00691113"/>
    <w:rsid w:val="006C084E"/>
    <w:rsid w:val="006C79CF"/>
    <w:rsid w:val="006E7A91"/>
    <w:rsid w:val="0070779A"/>
    <w:rsid w:val="007372AA"/>
    <w:rsid w:val="007479D7"/>
    <w:rsid w:val="007710E7"/>
    <w:rsid w:val="00783BE3"/>
    <w:rsid w:val="007B12B1"/>
    <w:rsid w:val="007B3D30"/>
    <w:rsid w:val="007D7ABC"/>
    <w:rsid w:val="007E1E05"/>
    <w:rsid w:val="00804403"/>
    <w:rsid w:val="0083134C"/>
    <w:rsid w:val="00856E2F"/>
    <w:rsid w:val="008A7BAB"/>
    <w:rsid w:val="008C2A17"/>
    <w:rsid w:val="008D1751"/>
    <w:rsid w:val="0091080C"/>
    <w:rsid w:val="00935A27"/>
    <w:rsid w:val="0094595A"/>
    <w:rsid w:val="00974D6F"/>
    <w:rsid w:val="009D19C3"/>
    <w:rsid w:val="009D235D"/>
    <w:rsid w:val="009E148B"/>
    <w:rsid w:val="009E63B3"/>
    <w:rsid w:val="00A11C0F"/>
    <w:rsid w:val="00A321F1"/>
    <w:rsid w:val="00A73923"/>
    <w:rsid w:val="00A9089E"/>
    <w:rsid w:val="00B00641"/>
    <w:rsid w:val="00B144CA"/>
    <w:rsid w:val="00B62DDF"/>
    <w:rsid w:val="00B71396"/>
    <w:rsid w:val="00B72509"/>
    <w:rsid w:val="00B82C74"/>
    <w:rsid w:val="00B9332B"/>
    <w:rsid w:val="00BF66BB"/>
    <w:rsid w:val="00C266EA"/>
    <w:rsid w:val="00C41DC5"/>
    <w:rsid w:val="00C643F0"/>
    <w:rsid w:val="00CB5BFD"/>
    <w:rsid w:val="00CC56BD"/>
    <w:rsid w:val="00D5740D"/>
    <w:rsid w:val="00D6082D"/>
    <w:rsid w:val="00DC4ACF"/>
    <w:rsid w:val="00DD0070"/>
    <w:rsid w:val="00E06676"/>
    <w:rsid w:val="00E54A37"/>
    <w:rsid w:val="00E62372"/>
    <w:rsid w:val="00EA516E"/>
    <w:rsid w:val="00EB1108"/>
    <w:rsid w:val="00EC7672"/>
    <w:rsid w:val="00ED2407"/>
    <w:rsid w:val="00ED5A26"/>
    <w:rsid w:val="00EF725A"/>
    <w:rsid w:val="00F310EE"/>
    <w:rsid w:val="00FA28AF"/>
    <w:rsid w:val="00FE377B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42878"/>
  <w15:docId w15:val="{65A900FB-2EAF-5C40-BF5D-A809A7331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7BA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ED2407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816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</dc:creator>
  <cp:keywords/>
  <dc:description/>
  <cp:lastModifiedBy>Petra Tas</cp:lastModifiedBy>
  <cp:revision>2</cp:revision>
  <dcterms:created xsi:type="dcterms:W3CDTF">2025-03-31T08:58:00Z</dcterms:created>
  <dcterms:modified xsi:type="dcterms:W3CDTF">2025-03-31T08:58:00Z</dcterms:modified>
</cp:coreProperties>
</file>